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45"/>
          <w:szCs w:val="45"/>
          <w:bdr w:val="none" w:color="auto" w:sz="0" w:space="0"/>
        </w:rPr>
      </w:pPr>
      <w:r>
        <w:rPr>
          <w:rFonts w:ascii="宋体" w:hAnsi="宋体" w:eastAsia="宋体" w:cs="宋体"/>
          <w:b/>
          <w:color w:val="000000"/>
          <w:sz w:val="45"/>
          <w:szCs w:val="45"/>
          <w:bdr w:val="none" w:color="auto" w:sz="0" w:space="0"/>
        </w:rPr>
        <w:t>吉林省环境保护厅关于开展2016年环境监察专项督查工作</w:t>
      </w:r>
    </w:p>
    <w:p>
      <w:pPr>
        <w:pStyle w:val="2"/>
        <w:keepNext w:val="0"/>
        <w:keepLines w:val="0"/>
        <w:widowControl/>
        <w:suppressLineNumbers w:val="0"/>
        <w:spacing w:line="432" w:lineRule="auto"/>
        <w:jc w:val="left"/>
        <w:rPr>
          <w:sz w:val="28"/>
          <w:szCs w:val="28"/>
        </w:rPr>
      </w:pPr>
      <w:r>
        <w:rPr>
          <w:rFonts w:hint="eastAsia"/>
          <w:color w:val="000000"/>
          <w:sz w:val="28"/>
          <w:szCs w:val="28"/>
          <w:lang w:val="en-US" w:eastAsia="zh-CN"/>
        </w:rPr>
        <w:t xml:space="preserve">    </w:t>
      </w:r>
      <w:bookmarkStart w:id="0" w:name="_GoBack"/>
      <w:bookmarkEnd w:id="0"/>
      <w:r>
        <w:rPr>
          <w:color w:val="000000"/>
          <w:sz w:val="28"/>
          <w:szCs w:val="28"/>
        </w:rPr>
        <w:t>为有效推动</w:t>
      </w:r>
      <w:r>
        <w:rPr>
          <w:color w:val="000000"/>
          <w:sz w:val="28"/>
          <w:szCs w:val="28"/>
          <w:lang w:val="en-US"/>
        </w:rPr>
        <w:t xml:space="preserve">2016年环境监察重点工作，落实地方环境监管责任，提高部分地区环境执法效能，环保厅定于2016年8月份开展环境监察专项督查工作。 </w:t>
      </w:r>
    </w:p>
    <w:p>
      <w:pPr>
        <w:pStyle w:val="2"/>
        <w:keepNext w:val="0"/>
        <w:keepLines w:val="0"/>
        <w:widowControl/>
        <w:suppressLineNumbers w:val="0"/>
        <w:spacing w:line="432" w:lineRule="auto"/>
        <w:jc w:val="left"/>
        <w:rPr>
          <w:sz w:val="28"/>
          <w:szCs w:val="28"/>
        </w:rPr>
      </w:pPr>
      <w:r>
        <w:rPr>
          <w:color w:val="000000"/>
          <w:sz w:val="28"/>
          <w:szCs w:val="28"/>
        </w:rPr>
        <w:t>　　督查工作将对地方环保部门及其环境监察机构进行督查，对和被督查地区的重点排污单位进行抽查。督查工作采取听取汇报、查阅资料、实地抽查、及时反馈、跟踪督办的方法。</w:t>
      </w:r>
    </w:p>
    <w:p>
      <w:pPr>
        <w:pStyle w:val="2"/>
        <w:keepNext w:val="0"/>
        <w:keepLines w:val="0"/>
        <w:widowControl/>
        <w:suppressLineNumbers w:val="0"/>
        <w:spacing w:line="432" w:lineRule="auto"/>
        <w:jc w:val="left"/>
        <w:rPr>
          <w:sz w:val="28"/>
          <w:szCs w:val="28"/>
        </w:rPr>
      </w:pPr>
      <w:r>
        <w:rPr>
          <w:color w:val="000000"/>
          <w:sz w:val="28"/>
          <w:szCs w:val="28"/>
        </w:rPr>
        <w:t>　　此次督查工作包括七项内容：一是《环保法》及配套办法实施情况。行政处罚、按日计罚、查封扣押、限产停产、案件移送情况；每月违法违规单位及其法定代表人名单和处理、整改情况的信息公开情况；重点排污单位信息公开情况以及由于未公开信息被环保部门处理处罚的情况。</w:t>
      </w:r>
    </w:p>
    <w:p>
      <w:pPr>
        <w:pStyle w:val="2"/>
        <w:keepNext w:val="0"/>
        <w:keepLines w:val="0"/>
        <w:widowControl/>
        <w:suppressLineNumbers w:val="0"/>
        <w:spacing w:line="432" w:lineRule="auto"/>
        <w:jc w:val="left"/>
        <w:rPr>
          <w:sz w:val="28"/>
          <w:szCs w:val="28"/>
        </w:rPr>
      </w:pPr>
      <w:r>
        <w:rPr>
          <w:color w:val="000000"/>
          <w:sz w:val="28"/>
          <w:szCs w:val="28"/>
        </w:rPr>
        <w:t>　　二是专项执法检查、专项行动、专项整治工作开展情况。钢铁、水泥熟料、平板玻璃、污水处理厂等重点行业环保专项执法检查工作开展情况；保护生态环境打击环境污染违法犯罪专项行动及打击涉危险废物环境违法犯罪行为专项执法检查开展情况；医疗废物和医疗废水处理专项整治、城镇生活垃圾无害化处理专项整治工作开展情况。</w:t>
      </w:r>
    </w:p>
    <w:p>
      <w:pPr>
        <w:pStyle w:val="2"/>
        <w:keepNext w:val="0"/>
        <w:keepLines w:val="0"/>
        <w:widowControl/>
        <w:suppressLineNumbers w:val="0"/>
        <w:spacing w:line="432" w:lineRule="auto"/>
        <w:jc w:val="left"/>
        <w:rPr>
          <w:sz w:val="28"/>
          <w:szCs w:val="28"/>
        </w:rPr>
      </w:pPr>
      <w:r>
        <w:rPr>
          <w:color w:val="000000"/>
          <w:sz w:val="28"/>
          <w:szCs w:val="28"/>
        </w:rPr>
        <w:t>　　三是“双随机”制度落实情况。是否按照随机企业名单和随机人员落实监督检查任务；是否对“双随机”制度下的违法问题进行后续处理；有关信息公开情况。</w:t>
      </w:r>
    </w:p>
    <w:p>
      <w:pPr>
        <w:pStyle w:val="2"/>
        <w:keepNext w:val="0"/>
        <w:keepLines w:val="0"/>
        <w:widowControl/>
        <w:suppressLineNumbers w:val="0"/>
        <w:spacing w:line="432" w:lineRule="auto"/>
        <w:jc w:val="left"/>
        <w:rPr>
          <w:sz w:val="28"/>
          <w:szCs w:val="28"/>
        </w:rPr>
      </w:pPr>
      <w:r>
        <w:rPr>
          <w:color w:val="000000"/>
          <w:sz w:val="28"/>
          <w:szCs w:val="28"/>
        </w:rPr>
        <w:t>　　四是贯彻落实“水十条”、“气十条”环境监管情况。环保“黄牌”“红牌”制度执行情况；“十小”企业取缔清单建立及取缔进展情况；辖区内工业集聚区污水集中处理设施建设情况；贯彻落实“气十条”环境监管情况。</w:t>
      </w:r>
    </w:p>
    <w:p>
      <w:pPr>
        <w:pStyle w:val="2"/>
        <w:keepNext w:val="0"/>
        <w:keepLines w:val="0"/>
        <w:widowControl/>
        <w:suppressLineNumbers w:val="0"/>
        <w:spacing w:line="432" w:lineRule="auto"/>
        <w:jc w:val="left"/>
        <w:rPr>
          <w:sz w:val="28"/>
          <w:szCs w:val="28"/>
        </w:rPr>
      </w:pPr>
      <w:r>
        <w:rPr>
          <w:color w:val="000000"/>
          <w:sz w:val="28"/>
          <w:szCs w:val="28"/>
        </w:rPr>
        <w:t>　　五是基层生态环境监督员建设情况。基层生态环境组织机构挂牌情况；地方环保部门组织基层生态环境监督员开展工作情况。</w:t>
      </w:r>
    </w:p>
    <w:p>
      <w:pPr>
        <w:pStyle w:val="2"/>
        <w:keepNext w:val="0"/>
        <w:keepLines w:val="0"/>
        <w:widowControl/>
        <w:suppressLineNumbers w:val="0"/>
        <w:spacing w:line="432" w:lineRule="auto"/>
        <w:jc w:val="left"/>
        <w:rPr>
          <w:sz w:val="28"/>
          <w:szCs w:val="28"/>
        </w:rPr>
      </w:pPr>
      <w:r>
        <w:rPr>
          <w:color w:val="000000"/>
          <w:sz w:val="28"/>
          <w:szCs w:val="28"/>
        </w:rPr>
        <w:t>　　六是违法违规建设项目清理情况。违法违规建设项目清单建立情况；“三个一批”分类推进情况；重点难点项目问题解决情况。</w:t>
      </w:r>
    </w:p>
    <w:p>
      <w:pPr>
        <w:pStyle w:val="2"/>
        <w:keepNext w:val="0"/>
        <w:keepLines w:val="0"/>
        <w:widowControl/>
        <w:suppressLineNumbers w:val="0"/>
        <w:spacing w:line="432" w:lineRule="auto"/>
        <w:jc w:val="left"/>
        <w:rPr>
          <w:sz w:val="28"/>
          <w:szCs w:val="28"/>
        </w:rPr>
      </w:pPr>
      <w:r>
        <w:rPr>
          <w:color w:val="000000"/>
          <w:sz w:val="28"/>
          <w:szCs w:val="28"/>
        </w:rPr>
        <w:t>　　七是农作物秸秆禁烧工作开展情况。落实地方党委政府禁烧责任情况；春季禁烧开展情况；秋季禁烧管理措施落实情况。</w:t>
      </w:r>
    </w:p>
    <w:p>
      <w:pPr>
        <w:jc w:val="center"/>
        <w:rPr>
          <w:rFonts w:ascii="宋体" w:hAnsi="宋体" w:eastAsia="宋体" w:cs="宋体"/>
          <w:b/>
          <w:color w:val="000000"/>
          <w:sz w:val="28"/>
          <w:szCs w:val="28"/>
          <w:bdr w:val="none" w:color="auto" w:sz="0" w:space="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0C3CB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1" w:after="0" w:afterAutospacing="1"/>
      <w:ind w:left="0" w:right="0"/>
      <w:jc w:val="left"/>
    </w:pPr>
    <w:rPr>
      <w:kern w:val="0"/>
      <w:sz w:val="24"/>
      <w:lang w:val="en-US" w:eastAsia="zh-CN" w:bidi="ar"/>
    </w:rPr>
  </w:style>
  <w:style w:type="character" w:styleId="4">
    <w:name w:val="FollowedHyperlink"/>
    <w:basedOn w:val="3"/>
    <w:uiPriority w:val="0"/>
    <w:rPr>
      <w:color w:val="000000"/>
      <w:sz w:val="18"/>
      <w:szCs w:val="18"/>
      <w:u w:val="none"/>
    </w:rPr>
  </w:style>
  <w:style w:type="character" w:styleId="5">
    <w:name w:val="Hyperlink"/>
    <w:basedOn w:val="3"/>
    <w:uiPriority w:val="0"/>
    <w:rPr>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solid</dc:creator>
  <cp:lastModifiedBy>solid</cp:lastModifiedBy>
  <dcterms:modified xsi:type="dcterms:W3CDTF">2016-09-02T00:44:38Z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